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8D58" w14:textId="0F5171A7" w:rsidR="00C949D4" w:rsidRDefault="00615F73" w:rsidP="00E146AC">
      <w:pPr>
        <w:pStyle w:val="Titolo"/>
        <w:spacing w:before="0"/>
        <w:ind w:left="1962" w:right="1967"/>
        <w:rPr>
          <w:rFonts w:ascii="Times New Roman" w:hAnsi="Times New Roman" w:cs="Times New Roman"/>
          <w:smallCaps/>
          <w:color w:val="17365D" w:themeColor="text2" w:themeShade="BF"/>
          <w:spacing w:val="-2"/>
          <w:sz w:val="44"/>
          <w:szCs w:val="44"/>
        </w:rPr>
      </w:pPr>
      <w:r w:rsidRPr="00F17ACC">
        <w:rPr>
          <w:rFonts w:ascii="Times New Roman" w:hAnsi="Times New Roman" w:cs="Times New Roman"/>
          <w:smallCaps/>
          <w:color w:val="17365D" w:themeColor="text2" w:themeShade="BF"/>
          <w:sz w:val="44"/>
          <w:szCs w:val="44"/>
        </w:rPr>
        <w:t>Politica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pacing w:val="7"/>
          <w:sz w:val="44"/>
          <w:szCs w:val="44"/>
        </w:rPr>
        <w:t xml:space="preserve"> 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z w:val="44"/>
          <w:szCs w:val="44"/>
        </w:rPr>
        <w:t>per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pacing w:val="5"/>
          <w:sz w:val="44"/>
          <w:szCs w:val="44"/>
        </w:rPr>
        <w:t xml:space="preserve"> 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z w:val="44"/>
          <w:szCs w:val="44"/>
        </w:rPr>
        <w:t>la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pacing w:val="9"/>
          <w:sz w:val="44"/>
          <w:szCs w:val="44"/>
        </w:rPr>
        <w:t xml:space="preserve"> 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z w:val="44"/>
          <w:szCs w:val="44"/>
        </w:rPr>
        <w:t>parità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pacing w:val="5"/>
          <w:sz w:val="44"/>
          <w:szCs w:val="44"/>
        </w:rPr>
        <w:t xml:space="preserve"> 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z w:val="44"/>
          <w:szCs w:val="44"/>
        </w:rPr>
        <w:t>di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pacing w:val="5"/>
          <w:sz w:val="44"/>
          <w:szCs w:val="44"/>
        </w:rPr>
        <w:t xml:space="preserve"> </w:t>
      </w:r>
      <w:r w:rsidRPr="00F17ACC">
        <w:rPr>
          <w:rFonts w:ascii="Times New Roman" w:hAnsi="Times New Roman" w:cs="Times New Roman"/>
          <w:smallCaps/>
          <w:color w:val="17365D" w:themeColor="text2" w:themeShade="BF"/>
          <w:spacing w:val="-2"/>
          <w:sz w:val="44"/>
          <w:szCs w:val="44"/>
        </w:rPr>
        <w:t>genere</w:t>
      </w:r>
    </w:p>
    <w:p w14:paraId="4891787E" w14:textId="77777777" w:rsidR="0034581C" w:rsidRDefault="0034581C" w:rsidP="00B15CF9">
      <w:pPr>
        <w:pStyle w:val="TableParagraph"/>
        <w:spacing w:line="360" w:lineRule="auto"/>
        <w:ind w:left="432" w:right="2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C841F4" w14:textId="765E696A" w:rsidR="00166EC3" w:rsidRDefault="0034581C" w:rsidP="00B15CF9">
      <w:pPr>
        <w:pStyle w:val="TableParagraph"/>
        <w:spacing w:line="360" w:lineRule="auto"/>
        <w:ind w:left="432" w:right="2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presente Politica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per la Parità di Genere definita dalla Direzione in coordinamento con il Comitato Guida</w:t>
      </w:r>
      <w:r w:rsidR="00A26282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definisce i principi, gli obiettivi e le indicazioni guida che definiscono l'impegno dell'organizzazione nei confronti dei temi relativi alla parità di genere, la valorizzazione delle diversità e l'empowerment femminile. </w:t>
      </w:r>
    </w:p>
    <w:p w14:paraId="6FE56C65" w14:textId="3A2CB4B8" w:rsidR="00F17ACC" w:rsidRPr="00F17ACC" w:rsidRDefault="0034581C" w:rsidP="00166EC3">
      <w:pPr>
        <w:pStyle w:val="TableParagraph"/>
        <w:spacing w:line="360" w:lineRule="auto"/>
        <w:ind w:left="432" w:right="2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TORRICELLI SRL</w:t>
      </w:r>
      <w:r w:rsidR="00DA199D" w:rsidRPr="00F17ACC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.</w:t>
      </w:r>
      <w:r w:rsidR="00DA199D" w:rsidRPr="00F17ACC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  <w:r w:rsidR="00DA199D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 impegna </w:t>
      </w:r>
      <w:r w:rsidR="00A26282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nell’attuazione di un sistema di gestione per promuovere la parità di genere, per valorizzare le diversità e supportare l’empowerment femminile, che coinvolge l’attivazione delle seguenti aree: opportunità di crescita in azienda e parità di retribuzioni; politiche per la gestione della genitorialità e della conciliazione vita-lavoro; politiche di gestione dei processi aziendali</w:t>
      </w:r>
      <w:r w:rsidR="00166EC3">
        <w:rPr>
          <w:rFonts w:ascii="Times New Roman" w:hAnsi="Times New Roman" w:cs="Times New Roman"/>
          <w:color w:val="000000" w:themeColor="text1"/>
          <w:sz w:val="20"/>
          <w:szCs w:val="20"/>
        </w:rPr>
        <w:t>; in particolare:</w:t>
      </w:r>
    </w:p>
    <w:p w14:paraId="01BFAF3A" w14:textId="25D9B673" w:rsidR="00AB5F5F" w:rsidRPr="00F17ACC" w:rsidRDefault="00166EC3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 w:right="2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applicare prassi di gestione e sviluppo delle risorse umane che promuovano una cultura inclusiva di crescita professionale, garantendo pari opportunità a tutto il personale;</w:t>
      </w:r>
    </w:p>
    <w:p w14:paraId="31B1EC3C" w14:textId="6F86613E" w:rsidR="00AB5F5F" w:rsidRPr="00F17ACC" w:rsidRDefault="00AB5F5F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 w:right="2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a comunicare internamente ed esternamente, anche attraverso attività di marketing e di pubblicità, la volontà di perseguire la parità di genere, la valorizzazione delle diversità e a supportare l’empowerment femminile</w:t>
      </w:r>
      <w:r w:rsidR="00E146AC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facendo accrescere la consapevolezza delle capacità delle donne oltre alla possibilità di partecipare e condividere le responsabilità al pari degli uomini e con la società stessa, liberandosi da presupposti culturali e sociali e ruoli prefissati. </w:t>
      </w:r>
    </w:p>
    <w:p w14:paraId="11C07B11" w14:textId="74FA649D" w:rsidR="00AB5F5F" w:rsidRPr="00F17ACC" w:rsidRDefault="00166EC3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 w:right="2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rispetto</w:t>
      </w:r>
      <w:r w:rsidR="00AB5F5F" w:rsidRPr="00F17ACC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della</w:t>
      </w:r>
      <w:r w:rsidR="00AB5F5F" w:rsidRPr="00F17ACC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cultura</w:t>
      </w:r>
      <w:r w:rsidR="00AB5F5F" w:rsidRPr="00F17ACC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AB5F5F" w:rsidRPr="00F17ACC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strategia</w:t>
      </w:r>
      <w:r w:rsidR="00AB5F5F" w:rsidRPr="00F17ACC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aziendale;</w:t>
      </w:r>
    </w:p>
    <w:p w14:paraId="203DE750" w14:textId="6AE0C740" w:rsidR="00AB5F5F" w:rsidRPr="00F17ACC" w:rsidRDefault="00166EC3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 w:right="2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una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governance</w:t>
      </w:r>
      <w:r w:rsidR="00AB5F5F" w:rsidRPr="00F17ACC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dell’organizzazione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volto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B5F5F" w:rsidRPr="00F17ACC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definire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gli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adeguati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presidi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organizzativi e la parità di genere nella leadership aziendale di alto livello;</w:t>
      </w:r>
    </w:p>
    <w:p w14:paraId="01DF9B05" w14:textId="24861918" w:rsidR="00AB5F5F" w:rsidRPr="00F17ACC" w:rsidRDefault="00F17ACC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 w:right="2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affinchè i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processi HR relativi ai diversi stadi che caratterizzano</w:t>
      </w:r>
      <w:r w:rsidR="00AB5F5F" w:rsidRPr="00F17ACC">
        <w:rPr>
          <w:rFonts w:ascii="Times New Roman" w:hAnsi="Times New Roman" w:cs="Times New Roman"/>
          <w:color w:val="000000" w:themeColor="text1"/>
          <w:spacing w:val="2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il ciclo</w:t>
      </w:r>
      <w:r w:rsidR="00AB5F5F" w:rsidRPr="00F17ACC">
        <w:rPr>
          <w:rFonts w:ascii="Times New Roman" w:hAnsi="Times New Roman" w:cs="Times New Roman"/>
          <w:color w:val="000000" w:themeColor="text1"/>
          <w:spacing w:val="2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di vita di una</w:t>
      </w:r>
      <w:r w:rsidR="00AB5F5F" w:rsidRPr="00F17ACC">
        <w:rPr>
          <w:rFonts w:ascii="Times New Roman" w:hAnsi="Times New Roman" w:cs="Times New Roman"/>
          <w:color w:val="000000" w:themeColor="text1"/>
          <w:spacing w:val="2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risorsa</w:t>
      </w:r>
      <w:r w:rsidR="00AB5F5F" w:rsidRPr="00F17ACC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nell’organizzazione </w:t>
      </w:r>
      <w:r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siano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basati su principi di inclusione e rispetto delle diversità;</w:t>
      </w:r>
    </w:p>
    <w:p w14:paraId="7A4AAFB5" w14:textId="224F9776" w:rsidR="00AB5F5F" w:rsidRPr="00F17ACC" w:rsidRDefault="00166EC3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F17ACC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garantire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opportunità</w:t>
      </w:r>
      <w:r w:rsidR="00AB5F5F" w:rsidRPr="00F17ACC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AB5F5F" w:rsidRPr="00F17ACC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crescita</w:t>
      </w:r>
      <w:r w:rsidR="00AB5F5F" w:rsidRPr="00F17ACC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="00AB5F5F" w:rsidRPr="00F17ACC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inclusione</w:t>
      </w:r>
      <w:r w:rsidR="00AB5F5F" w:rsidRPr="00F17ACC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delle</w:t>
      </w:r>
      <w:r w:rsidR="00AB5F5F" w:rsidRPr="00F17ACC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donne</w:t>
      </w:r>
      <w:r w:rsidR="00AB5F5F" w:rsidRPr="00F17ACC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AB5F5F" w:rsidRPr="00F17ACC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azienda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; promuovendo l’educazione, la formazione e lo sviluppo personale delle donne e l’autonomia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;</w:t>
      </w:r>
    </w:p>
    <w:p w14:paraId="1E43A8FF" w14:textId="545782C0" w:rsidR="00AB5F5F" w:rsidRPr="00F17ACC" w:rsidRDefault="00166EC3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F17ACC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garantire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equità</w:t>
      </w:r>
      <w:r w:rsidR="00AB5F5F" w:rsidRPr="00F17ACC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remunerativa</w:t>
      </w:r>
      <w:r w:rsidR="00AB5F5F" w:rsidRPr="00F17ACC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>per</w:t>
      </w:r>
      <w:r w:rsidR="00AB5F5F" w:rsidRPr="00F17ACC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genere;</w:t>
      </w:r>
    </w:p>
    <w:p w14:paraId="24B6FAF5" w14:textId="14B07214" w:rsidR="00AB5F5F" w:rsidRPr="00466BF7" w:rsidRDefault="00166EC3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a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tutela</w:t>
      </w:r>
      <w:r w:rsidR="00F17ACC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re</w:t>
      </w:r>
      <w:r w:rsidR="00AB5F5F" w:rsidRPr="00F17AC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la</w:t>
      </w:r>
      <w:r w:rsidR="00AB5F5F" w:rsidRPr="00F17ACC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genitorialità</w:t>
      </w:r>
      <w:r w:rsidR="00AB5F5F" w:rsidRPr="00F17A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e</w:t>
      </w:r>
      <w:r w:rsidR="00AB5F5F" w:rsidRPr="00F17ACC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conciliazione</w:t>
      </w:r>
      <w:r w:rsidR="00AB5F5F" w:rsidRPr="00F17ACC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="00AB5F5F" w:rsidRPr="00F17AC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vita-lavoro</w:t>
      </w:r>
    </w:p>
    <w:p w14:paraId="58C80AFB" w14:textId="7256CF66" w:rsidR="00466BF7" w:rsidRPr="00466BF7" w:rsidRDefault="00466BF7" w:rsidP="00B15CF9">
      <w:pPr>
        <w:pStyle w:val="TableParagraph"/>
        <w:numPr>
          <w:ilvl w:val="0"/>
          <w:numId w:val="2"/>
        </w:numPr>
        <w:tabs>
          <w:tab w:val="left" w:pos="791"/>
          <w:tab w:val="left" w:pos="793"/>
        </w:tabs>
        <w:spacing w:line="360" w:lineRule="auto"/>
        <w:ind w:left="788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466BF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Applicare rigide politiche di prevenzione di ogni forma di abuso fisico, verbale, digitale (molestie) sui luoghi di lavoro.</w:t>
      </w:r>
    </w:p>
    <w:p w14:paraId="3DEA561F" w14:textId="3F514CE1" w:rsidR="00B15CF9" w:rsidRPr="00B15CF9" w:rsidRDefault="00B15CF9" w:rsidP="00B15CF9">
      <w:pPr>
        <w:pStyle w:val="TableParagraph"/>
        <w:spacing w:line="360" w:lineRule="auto"/>
        <w:ind w:left="432" w:right="2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5CF9">
        <w:rPr>
          <w:rFonts w:ascii="Times New Roman" w:hAnsi="Times New Roman" w:cs="Times New Roman"/>
          <w:color w:val="000000" w:themeColor="text1"/>
          <w:sz w:val="20"/>
          <w:szCs w:val="20"/>
        </w:rPr>
        <w:t>La presente Politica per la Parità di Genere è applicabile a tutto il personale interno e al personale esterno che collabora con continuità con l’organizzazione</w:t>
      </w:r>
      <w:r w:rsidR="008E67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chiede loro, </w:t>
      </w:r>
      <w:r w:rsidR="008E67E9" w:rsidRPr="00B15CF9">
        <w:rPr>
          <w:rFonts w:ascii="Times New Roman" w:hAnsi="Times New Roman" w:cs="Times New Roman"/>
          <w:color w:val="000000" w:themeColor="text1"/>
          <w:sz w:val="20"/>
          <w:szCs w:val="20"/>
        </w:rPr>
        <w:t>di rispettare, per le attività di propria competenza, quanto indicato nel Sistema di Gestione e nelle Policy ad esso collegate nonché di applicare quotidianamente i principi contenuti nella presente Politica</w:t>
      </w:r>
      <w:r w:rsidR="008E67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AC644F3" w14:textId="720CA48E" w:rsidR="00AB5F5F" w:rsidRDefault="0034581C" w:rsidP="00B15CF9">
      <w:pPr>
        <w:pStyle w:val="TableParagraph"/>
        <w:spacing w:line="360" w:lineRule="auto"/>
        <w:ind w:left="431" w:right="26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TORRICELLI SRL</w:t>
      </w:r>
      <w:r w:rsidR="00B15CF9" w:rsidRPr="00F17ACC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 xml:space="preserve">. </w:t>
      </w:r>
      <w:r w:rsidR="00B15CF9" w:rsidRPr="00B15CF9">
        <w:rPr>
          <w:rFonts w:ascii="Times New Roman" w:hAnsi="Times New Roman" w:cs="Times New Roman"/>
          <w:color w:val="000000" w:themeColor="text1"/>
          <w:sz w:val="20"/>
          <w:szCs w:val="20"/>
        </w:rPr>
        <w:t>definisce gli obiettivi dettagliati nel Piano Strategico attraverso Indicatori di Prestazione (KPI) sulla base delle 6 aree tematiche indicate nella UNI/PdR 125:2022</w:t>
      </w:r>
      <w:r w:rsidR="00AB5F5F" w:rsidRPr="00B15C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F8323E1" w14:textId="77777777" w:rsidR="00B15CF9" w:rsidRPr="00B15CF9" w:rsidRDefault="00B15CF9" w:rsidP="00B15CF9">
      <w:pPr>
        <w:pStyle w:val="TableParagraph"/>
        <w:spacing w:line="360" w:lineRule="auto"/>
        <w:ind w:left="432" w:right="2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5CF9">
        <w:rPr>
          <w:rFonts w:ascii="Times New Roman" w:hAnsi="Times New Roman" w:cs="Times New Roman"/>
          <w:color w:val="000000" w:themeColor="text1"/>
          <w:sz w:val="20"/>
          <w:szCs w:val="20"/>
        </w:rPr>
        <w:t>L’idoneità della presente Politica è riesaminata ogni anno durante le attività di riesame del Sistema di Gestione Aziendale.</w:t>
      </w:r>
    </w:p>
    <w:p w14:paraId="45044C79" w14:textId="77777777" w:rsidR="00B15CF9" w:rsidRPr="00B15CF9" w:rsidRDefault="00B15CF9" w:rsidP="00B15CF9">
      <w:pPr>
        <w:pStyle w:val="TableParagraph"/>
        <w:spacing w:line="360" w:lineRule="auto"/>
        <w:ind w:left="432" w:right="2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5CF9">
        <w:rPr>
          <w:rFonts w:ascii="Times New Roman" w:hAnsi="Times New Roman" w:cs="Times New Roman"/>
          <w:color w:val="000000" w:themeColor="text1"/>
          <w:sz w:val="20"/>
          <w:szCs w:val="20"/>
        </w:rPr>
        <w:t>La responsabilità dell’attuazione della presente Politica è affidata al Comitato Guida per la Parità di Genere.</w:t>
      </w:r>
    </w:p>
    <w:p w14:paraId="02CE2721" w14:textId="4C1068B4" w:rsidR="00A26282" w:rsidRPr="00F17ACC" w:rsidRDefault="00A26282" w:rsidP="00B15CF9">
      <w:pPr>
        <w:pStyle w:val="TableParagraph"/>
        <w:spacing w:line="360" w:lineRule="auto"/>
        <w:ind w:left="431" w:right="263"/>
        <w:jc w:val="both"/>
        <w:rPr>
          <w:rFonts w:ascii="Times New Roman" w:hAnsi="Times New Roman" w:cs="Times New Roman"/>
          <w:sz w:val="20"/>
          <w:szCs w:val="20"/>
        </w:rPr>
      </w:pPr>
      <w:r w:rsidRPr="00F17ACC">
        <w:rPr>
          <w:rFonts w:ascii="Times New Roman" w:hAnsi="Times New Roman" w:cs="Times New Roman"/>
          <w:sz w:val="20"/>
          <w:szCs w:val="20"/>
        </w:rPr>
        <w:t>Al fine di assicurare sia ai dipendenti dell’azienda che agli stakeholder la possibilità di contribuire al miglioramento del Sistema di Gestione per la parità di genere, l’azienda ha predisposto un </w:t>
      </w:r>
      <w:r w:rsidRPr="00B15CF9">
        <w:rPr>
          <w:rFonts w:ascii="Times New Roman" w:hAnsi="Times New Roman" w:cs="Times New Roman"/>
          <w:sz w:val="20"/>
          <w:szCs w:val="20"/>
        </w:rPr>
        <w:t>canale di comunicazione anonimo</w:t>
      </w:r>
      <w:r w:rsidRPr="00F17ACC">
        <w:rPr>
          <w:rFonts w:ascii="Times New Roman" w:hAnsi="Times New Roman" w:cs="Times New Roman"/>
          <w:sz w:val="20"/>
          <w:szCs w:val="20"/>
        </w:rPr>
        <w:t> per garantire a tutti la possibilità di inviare eventuali comunicazioni.</w:t>
      </w:r>
    </w:p>
    <w:p w14:paraId="53962909" w14:textId="11B82735" w:rsidR="00554800" w:rsidRPr="008E67E9" w:rsidRDefault="00A26282" w:rsidP="008E67E9">
      <w:pPr>
        <w:pStyle w:val="TableParagraph"/>
        <w:spacing w:line="360" w:lineRule="auto"/>
        <w:ind w:left="431" w:right="263"/>
        <w:jc w:val="both"/>
        <w:rPr>
          <w:rFonts w:ascii="Times New Roman" w:hAnsi="Times New Roman" w:cs="Times New Roman"/>
          <w:sz w:val="20"/>
          <w:szCs w:val="20"/>
        </w:rPr>
      </w:pPr>
      <w:r w:rsidRPr="00F17ACC">
        <w:rPr>
          <w:rFonts w:ascii="Times New Roman" w:hAnsi="Times New Roman" w:cs="Times New Roman"/>
          <w:sz w:val="20"/>
          <w:szCs w:val="20"/>
        </w:rPr>
        <w:t>Ogni lavoratore può sporgere reclami e segnalazioni in relazione a fatti e incidenti</w:t>
      </w:r>
      <w:r w:rsidRPr="00B15CF9">
        <w:rPr>
          <w:rFonts w:ascii="Times New Roman" w:hAnsi="Times New Roman" w:cs="Times New Roman"/>
          <w:sz w:val="20"/>
          <w:szCs w:val="20"/>
        </w:rPr>
        <w:t xml:space="preserve"> rispetto ai temi della parità di genere, violazione politiche di selezione e assunzione, </w:t>
      </w:r>
      <w:r w:rsidRPr="00F17ACC">
        <w:rPr>
          <w:rFonts w:ascii="Times New Roman" w:hAnsi="Times New Roman" w:cs="Times New Roman"/>
          <w:sz w:val="20"/>
          <w:szCs w:val="20"/>
        </w:rPr>
        <w:t>reclami rispetto ai temi, analisi di eventuali meccanismi di whistleblowing, incidenti o segnalazioni di violenze o sopraffazioni, KPI non in linea, verificatisi nell’ambito lavorativo o ad esso legati e in contrasto con i principi della UNI PDR 125/2022</w:t>
      </w:r>
      <w:r w:rsidR="008E67E9">
        <w:rPr>
          <w:rFonts w:ascii="Times New Roman" w:hAnsi="Times New Roman" w:cs="Times New Roman"/>
          <w:sz w:val="20"/>
          <w:szCs w:val="20"/>
        </w:rPr>
        <w:t>.</w:t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E146AC" w:rsidRPr="00F17ACC">
        <w:rPr>
          <w:rFonts w:ascii="Times New Roman" w:hAnsi="Times New Roman" w:cs="Times New Roman"/>
          <w:sz w:val="20"/>
          <w:szCs w:val="20"/>
        </w:rPr>
        <w:tab/>
      </w:r>
      <w:r w:rsidR="00554800" w:rsidRPr="00F17ACC">
        <w:rPr>
          <w:rFonts w:ascii="Times New Roman" w:hAnsi="Times New Roman" w:cs="Times New Roman"/>
          <w:sz w:val="20"/>
          <w:szCs w:val="20"/>
        </w:rPr>
        <w:tab/>
      </w:r>
      <w:r w:rsidR="00554800" w:rsidRPr="00F17AC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ab/>
      </w:r>
      <w:r w:rsidR="00554800" w:rsidRPr="00F17AC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ab/>
      </w:r>
      <w:r w:rsidR="00554800" w:rsidRPr="00F17AC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ab/>
      </w:r>
      <w:r w:rsidR="00554800" w:rsidRPr="00F17AC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ab/>
      </w:r>
    </w:p>
    <w:sectPr w:rsidR="00554800" w:rsidRPr="008E67E9" w:rsidSect="003C6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442" w:header="0" w:footer="794" w:gutter="0"/>
      <w:pgBorders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6A3A" w14:textId="77777777" w:rsidR="003C6BB6" w:rsidRDefault="003C6BB6">
      <w:r>
        <w:separator/>
      </w:r>
    </w:p>
  </w:endnote>
  <w:endnote w:type="continuationSeparator" w:id="0">
    <w:p w14:paraId="58E6F0F2" w14:textId="77777777" w:rsidR="003C6BB6" w:rsidRDefault="003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6F1D" w14:textId="77777777" w:rsidR="0034581C" w:rsidRDefault="003458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27EE" w14:textId="558E832B" w:rsidR="006414B5" w:rsidRPr="006414B5" w:rsidRDefault="006414B5" w:rsidP="006414B5">
    <w:pPr>
      <w:pStyle w:val="TableParagraph"/>
      <w:tabs>
        <w:tab w:val="left" w:pos="791"/>
        <w:tab w:val="left" w:pos="793"/>
      </w:tabs>
      <w:spacing w:before="120" w:after="120"/>
      <w:ind w:left="788"/>
      <w:jc w:val="both"/>
      <w:rPr>
        <w:rFonts w:ascii="Times New Roman" w:hAnsi="Times New Roman" w:cs="Times New Roman"/>
        <w:color w:val="17365D" w:themeColor="text2" w:themeShade="BF"/>
        <w:sz w:val="16"/>
        <w:szCs w:val="16"/>
      </w:rPr>
    </w:pPr>
    <w:r w:rsidRPr="006414B5">
      <w:rPr>
        <w:rFonts w:ascii="Times New Roman" w:hAnsi="Times New Roman" w:cs="Times New Roman"/>
        <w:color w:val="17365D" w:themeColor="text2" w:themeShade="BF"/>
        <w:sz w:val="16"/>
        <w:szCs w:val="16"/>
      </w:rPr>
      <w:t xml:space="preserve">PPG Politica per la parità di genere </w:t>
    </w:r>
    <w:proofErr w:type="spellStart"/>
    <w:r w:rsidRPr="006414B5">
      <w:rPr>
        <w:rFonts w:ascii="Times New Roman" w:hAnsi="Times New Roman" w:cs="Times New Roman"/>
        <w:color w:val="17365D" w:themeColor="text2" w:themeShade="BF"/>
        <w:sz w:val="16"/>
        <w:szCs w:val="16"/>
      </w:rPr>
      <w:t>Rev</w:t>
    </w:r>
    <w:proofErr w:type="spellEnd"/>
    <w:r w:rsidRPr="006414B5">
      <w:rPr>
        <w:rFonts w:ascii="Times New Roman" w:hAnsi="Times New Roman" w:cs="Times New Roman"/>
        <w:color w:val="17365D" w:themeColor="text2" w:themeShade="BF"/>
        <w:sz w:val="16"/>
        <w:szCs w:val="16"/>
      </w:rPr>
      <w:t xml:space="preserve"> 0 del </w:t>
    </w:r>
    <w:r w:rsidR="0034581C">
      <w:rPr>
        <w:rFonts w:ascii="Times New Roman" w:hAnsi="Times New Roman" w:cs="Times New Roman"/>
        <w:color w:val="17365D" w:themeColor="text2" w:themeShade="BF"/>
        <w:sz w:val="16"/>
        <w:szCs w:val="16"/>
      </w:rPr>
      <w:t>29.05.2023</w:t>
    </w:r>
  </w:p>
  <w:p w14:paraId="502CD29C" w14:textId="6B9470BA" w:rsidR="00C949D4" w:rsidRDefault="00554800">
    <w:pPr>
      <w:pStyle w:val="Corpotesto"/>
      <w:spacing w:line="14" w:lineRule="auto"/>
      <w:rPr>
        <w:sz w:val="2"/>
      </w:rPr>
    </w:pPr>
    <w:r>
      <w:rPr>
        <w:sz w:val="2"/>
      </w:rPr>
      <w:t>PPPPPPG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8233" w14:textId="77777777" w:rsidR="0034581C" w:rsidRDefault="00345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9C47" w14:textId="77777777" w:rsidR="003C6BB6" w:rsidRDefault="003C6BB6">
      <w:r>
        <w:separator/>
      </w:r>
    </w:p>
  </w:footnote>
  <w:footnote w:type="continuationSeparator" w:id="0">
    <w:p w14:paraId="095EBD75" w14:textId="77777777" w:rsidR="003C6BB6" w:rsidRDefault="003C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8F3D" w14:textId="77777777" w:rsidR="0034581C" w:rsidRDefault="003458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F4C3" w14:textId="0ACE668C" w:rsidR="00E146AC" w:rsidRDefault="00E146AC">
    <w:pPr>
      <w:pStyle w:val="Intestazione"/>
      <w:rPr>
        <w:noProof/>
      </w:rPr>
    </w:pPr>
  </w:p>
  <w:p w14:paraId="6D2730AE" w14:textId="77777777" w:rsidR="006414B5" w:rsidRDefault="006414B5">
    <w:pPr>
      <w:pStyle w:val="Intestazione"/>
      <w:rPr>
        <w:noProof/>
      </w:rPr>
    </w:pPr>
  </w:p>
  <w:p w14:paraId="267330CC" w14:textId="1CE989C8" w:rsidR="006414B5" w:rsidRDefault="0034581C" w:rsidP="0034581C">
    <w:pPr>
      <w:pStyle w:val="Intestazione"/>
      <w:ind w:firstLine="284"/>
    </w:pPr>
    <w:r>
      <w:rPr>
        <w:noProof/>
      </w:rPr>
      <w:drawing>
        <wp:inline distT="0" distB="0" distL="0" distR="0" wp14:anchorId="4657842A" wp14:editId="4164CB44">
          <wp:extent cx="645948" cy="561975"/>
          <wp:effectExtent l="0" t="0" r="1905" b="0"/>
          <wp:docPr id="339561025" name="Immagine 1" descr="Immagine che contiene Carattere, logo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Carattere, logo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68" cy="56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127B" w14:textId="77777777" w:rsidR="0034581C" w:rsidRDefault="003458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788A"/>
    <w:multiLevelType w:val="hybridMultilevel"/>
    <w:tmpl w:val="13CA9F94"/>
    <w:lvl w:ilvl="0" w:tplc="76B8CFD8">
      <w:numFmt w:val="bullet"/>
      <w:lvlText w:val=""/>
      <w:lvlJc w:val="left"/>
      <w:pPr>
        <w:ind w:left="91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E202652">
      <w:numFmt w:val="bullet"/>
      <w:lvlText w:val="•"/>
      <w:lvlJc w:val="left"/>
      <w:pPr>
        <w:ind w:left="1931" w:hanging="361"/>
      </w:pPr>
      <w:rPr>
        <w:rFonts w:hint="default"/>
        <w:lang w:val="it-IT" w:eastAsia="en-US" w:bidi="ar-SA"/>
      </w:rPr>
    </w:lvl>
    <w:lvl w:ilvl="2" w:tplc="5CEAE254">
      <w:numFmt w:val="bullet"/>
      <w:lvlText w:val="•"/>
      <w:lvlJc w:val="left"/>
      <w:pPr>
        <w:ind w:left="2942" w:hanging="361"/>
      </w:pPr>
      <w:rPr>
        <w:rFonts w:hint="default"/>
        <w:lang w:val="it-IT" w:eastAsia="en-US" w:bidi="ar-SA"/>
      </w:rPr>
    </w:lvl>
    <w:lvl w:ilvl="3" w:tplc="60540962">
      <w:numFmt w:val="bullet"/>
      <w:lvlText w:val="•"/>
      <w:lvlJc w:val="left"/>
      <w:pPr>
        <w:ind w:left="3953" w:hanging="361"/>
      </w:pPr>
      <w:rPr>
        <w:rFonts w:hint="default"/>
        <w:lang w:val="it-IT" w:eastAsia="en-US" w:bidi="ar-SA"/>
      </w:rPr>
    </w:lvl>
    <w:lvl w:ilvl="4" w:tplc="33E8C94A">
      <w:numFmt w:val="bullet"/>
      <w:lvlText w:val="•"/>
      <w:lvlJc w:val="left"/>
      <w:pPr>
        <w:ind w:left="4964" w:hanging="361"/>
      </w:pPr>
      <w:rPr>
        <w:rFonts w:hint="default"/>
        <w:lang w:val="it-IT" w:eastAsia="en-US" w:bidi="ar-SA"/>
      </w:rPr>
    </w:lvl>
    <w:lvl w:ilvl="5" w:tplc="BD363AFA">
      <w:numFmt w:val="bullet"/>
      <w:lvlText w:val="•"/>
      <w:lvlJc w:val="left"/>
      <w:pPr>
        <w:ind w:left="5975" w:hanging="361"/>
      </w:pPr>
      <w:rPr>
        <w:rFonts w:hint="default"/>
        <w:lang w:val="it-IT" w:eastAsia="en-US" w:bidi="ar-SA"/>
      </w:rPr>
    </w:lvl>
    <w:lvl w:ilvl="6" w:tplc="186A235A">
      <w:numFmt w:val="bullet"/>
      <w:lvlText w:val="•"/>
      <w:lvlJc w:val="left"/>
      <w:pPr>
        <w:ind w:left="6986" w:hanging="361"/>
      </w:pPr>
      <w:rPr>
        <w:rFonts w:hint="default"/>
        <w:lang w:val="it-IT" w:eastAsia="en-US" w:bidi="ar-SA"/>
      </w:rPr>
    </w:lvl>
    <w:lvl w:ilvl="7" w:tplc="97D6610A">
      <w:numFmt w:val="bullet"/>
      <w:lvlText w:val="•"/>
      <w:lvlJc w:val="left"/>
      <w:pPr>
        <w:ind w:left="7997" w:hanging="361"/>
      </w:pPr>
      <w:rPr>
        <w:rFonts w:hint="default"/>
        <w:lang w:val="it-IT" w:eastAsia="en-US" w:bidi="ar-SA"/>
      </w:rPr>
    </w:lvl>
    <w:lvl w:ilvl="8" w:tplc="2FFAECE8">
      <w:numFmt w:val="bullet"/>
      <w:lvlText w:val="•"/>
      <w:lvlJc w:val="left"/>
      <w:pPr>
        <w:ind w:left="900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53950B2"/>
    <w:multiLevelType w:val="hybridMultilevel"/>
    <w:tmpl w:val="FFAACB9A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493D7143"/>
    <w:multiLevelType w:val="hybridMultilevel"/>
    <w:tmpl w:val="49FCD894"/>
    <w:lvl w:ilvl="0" w:tplc="BE74E5B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69622AF7"/>
    <w:multiLevelType w:val="hybridMultilevel"/>
    <w:tmpl w:val="FA9E0750"/>
    <w:lvl w:ilvl="0" w:tplc="F4227AB4">
      <w:numFmt w:val="bullet"/>
      <w:lvlText w:val=""/>
      <w:lvlJc w:val="left"/>
      <w:pPr>
        <w:ind w:left="79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66F646">
      <w:numFmt w:val="bullet"/>
      <w:lvlText w:val="•"/>
      <w:lvlJc w:val="left"/>
      <w:pPr>
        <w:ind w:left="1655" w:hanging="363"/>
      </w:pPr>
      <w:rPr>
        <w:rFonts w:hint="default"/>
        <w:lang w:val="it-IT" w:eastAsia="en-US" w:bidi="ar-SA"/>
      </w:rPr>
    </w:lvl>
    <w:lvl w:ilvl="2" w:tplc="92568830">
      <w:numFmt w:val="bullet"/>
      <w:lvlText w:val="•"/>
      <w:lvlJc w:val="left"/>
      <w:pPr>
        <w:ind w:left="2510" w:hanging="363"/>
      </w:pPr>
      <w:rPr>
        <w:rFonts w:hint="default"/>
        <w:lang w:val="it-IT" w:eastAsia="en-US" w:bidi="ar-SA"/>
      </w:rPr>
    </w:lvl>
    <w:lvl w:ilvl="3" w:tplc="FE50F8BE">
      <w:numFmt w:val="bullet"/>
      <w:lvlText w:val="•"/>
      <w:lvlJc w:val="left"/>
      <w:pPr>
        <w:ind w:left="3365" w:hanging="363"/>
      </w:pPr>
      <w:rPr>
        <w:rFonts w:hint="default"/>
        <w:lang w:val="it-IT" w:eastAsia="en-US" w:bidi="ar-SA"/>
      </w:rPr>
    </w:lvl>
    <w:lvl w:ilvl="4" w:tplc="1A488496">
      <w:numFmt w:val="bullet"/>
      <w:lvlText w:val="•"/>
      <w:lvlJc w:val="left"/>
      <w:pPr>
        <w:ind w:left="4220" w:hanging="363"/>
      </w:pPr>
      <w:rPr>
        <w:rFonts w:hint="default"/>
        <w:lang w:val="it-IT" w:eastAsia="en-US" w:bidi="ar-SA"/>
      </w:rPr>
    </w:lvl>
    <w:lvl w:ilvl="5" w:tplc="012AF8DA">
      <w:numFmt w:val="bullet"/>
      <w:lvlText w:val="•"/>
      <w:lvlJc w:val="left"/>
      <w:pPr>
        <w:ind w:left="5075" w:hanging="363"/>
      </w:pPr>
      <w:rPr>
        <w:rFonts w:hint="default"/>
        <w:lang w:val="it-IT" w:eastAsia="en-US" w:bidi="ar-SA"/>
      </w:rPr>
    </w:lvl>
    <w:lvl w:ilvl="6" w:tplc="5ED0E5F2">
      <w:numFmt w:val="bullet"/>
      <w:lvlText w:val="•"/>
      <w:lvlJc w:val="left"/>
      <w:pPr>
        <w:ind w:left="5930" w:hanging="363"/>
      </w:pPr>
      <w:rPr>
        <w:rFonts w:hint="default"/>
        <w:lang w:val="it-IT" w:eastAsia="en-US" w:bidi="ar-SA"/>
      </w:rPr>
    </w:lvl>
    <w:lvl w:ilvl="7" w:tplc="10F6F742">
      <w:numFmt w:val="bullet"/>
      <w:lvlText w:val="•"/>
      <w:lvlJc w:val="left"/>
      <w:pPr>
        <w:ind w:left="6785" w:hanging="363"/>
      </w:pPr>
      <w:rPr>
        <w:rFonts w:hint="default"/>
        <w:lang w:val="it-IT" w:eastAsia="en-US" w:bidi="ar-SA"/>
      </w:rPr>
    </w:lvl>
    <w:lvl w:ilvl="8" w:tplc="4A6EE2D4">
      <w:numFmt w:val="bullet"/>
      <w:lvlText w:val="•"/>
      <w:lvlJc w:val="left"/>
      <w:pPr>
        <w:ind w:left="7640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73623A19"/>
    <w:multiLevelType w:val="hybridMultilevel"/>
    <w:tmpl w:val="06CE84F6"/>
    <w:lvl w:ilvl="0" w:tplc="FFFFFFFF">
      <w:start w:val="1"/>
      <w:numFmt w:val="bullet"/>
      <w:lvlText w:val="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7E183841"/>
    <w:multiLevelType w:val="multilevel"/>
    <w:tmpl w:val="94C8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360238">
    <w:abstractNumId w:val="0"/>
  </w:num>
  <w:num w:numId="2" w16cid:durableId="269121867">
    <w:abstractNumId w:val="3"/>
  </w:num>
  <w:num w:numId="3" w16cid:durableId="397243441">
    <w:abstractNumId w:val="5"/>
  </w:num>
  <w:num w:numId="4" w16cid:durableId="1456095526">
    <w:abstractNumId w:val="1"/>
  </w:num>
  <w:num w:numId="5" w16cid:durableId="829559166">
    <w:abstractNumId w:val="2"/>
  </w:num>
  <w:num w:numId="6" w16cid:durableId="115488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D4"/>
    <w:rsid w:val="00005D28"/>
    <w:rsid w:val="000B13E5"/>
    <w:rsid w:val="001312DE"/>
    <w:rsid w:val="00166EC3"/>
    <w:rsid w:val="002866D1"/>
    <w:rsid w:val="002A28BF"/>
    <w:rsid w:val="00334195"/>
    <w:rsid w:val="0034581C"/>
    <w:rsid w:val="003C6BB6"/>
    <w:rsid w:val="00423FC8"/>
    <w:rsid w:val="00466BF7"/>
    <w:rsid w:val="004E3E05"/>
    <w:rsid w:val="004F7CAC"/>
    <w:rsid w:val="005166F4"/>
    <w:rsid w:val="00554800"/>
    <w:rsid w:val="00580747"/>
    <w:rsid w:val="00615F73"/>
    <w:rsid w:val="006414B5"/>
    <w:rsid w:val="006C307E"/>
    <w:rsid w:val="006D33CF"/>
    <w:rsid w:val="008243D8"/>
    <w:rsid w:val="008E67E9"/>
    <w:rsid w:val="009E15F3"/>
    <w:rsid w:val="009E3D74"/>
    <w:rsid w:val="009E6BBA"/>
    <w:rsid w:val="00A26282"/>
    <w:rsid w:val="00AB5F5F"/>
    <w:rsid w:val="00AD3EE2"/>
    <w:rsid w:val="00AE6099"/>
    <w:rsid w:val="00B15CF9"/>
    <w:rsid w:val="00B96148"/>
    <w:rsid w:val="00C03B58"/>
    <w:rsid w:val="00C949D4"/>
    <w:rsid w:val="00D63007"/>
    <w:rsid w:val="00D67063"/>
    <w:rsid w:val="00DA199D"/>
    <w:rsid w:val="00E146AC"/>
    <w:rsid w:val="00F17ACC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00CF1"/>
  <w15:docId w15:val="{2767103A-A323-460D-9821-B3D39E1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CA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7CAC"/>
  </w:style>
  <w:style w:type="paragraph" w:styleId="Titolo">
    <w:name w:val="Title"/>
    <w:basedOn w:val="Normale"/>
    <w:uiPriority w:val="10"/>
    <w:qFormat/>
    <w:rsid w:val="004F7CAC"/>
    <w:pPr>
      <w:spacing w:before="84"/>
      <w:ind w:left="1961" w:right="1965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4F7CAC"/>
    <w:pPr>
      <w:spacing w:before="1"/>
      <w:ind w:left="915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4F7CAC"/>
  </w:style>
  <w:style w:type="paragraph" w:styleId="NormaleWeb">
    <w:name w:val="Normal (Web)"/>
    <w:basedOn w:val="Normale"/>
    <w:uiPriority w:val="99"/>
    <w:semiHidden/>
    <w:unhideWhenUsed/>
    <w:rsid w:val="00D630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80747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C3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07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30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07E"/>
    <w:rPr>
      <w:rFonts w:ascii="Arial" w:eastAsia="Arial" w:hAnsi="Arial" w:cs="Arial"/>
      <w:lang w:val="it-IT"/>
    </w:rPr>
  </w:style>
  <w:style w:type="character" w:styleId="Enfasigrassetto">
    <w:name w:val="Strong"/>
    <w:basedOn w:val="Carpredefinitoparagrafo"/>
    <w:uiPriority w:val="22"/>
    <w:qFormat/>
    <w:rsid w:val="00A26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Guercioni</cp:lastModifiedBy>
  <cp:revision>5</cp:revision>
  <dcterms:created xsi:type="dcterms:W3CDTF">2022-10-13T11:33:00Z</dcterms:created>
  <dcterms:modified xsi:type="dcterms:W3CDTF">2024-01-30T19:43:00Z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D:20221006080047</vt:lpwstr>
  </property>
</Properties>
</file>